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3C" w:rsidRPr="00EE343C" w:rsidRDefault="00EE343C" w:rsidP="00EE343C">
      <w:pPr>
        <w:pStyle w:val="a5"/>
        <w:jc w:val="right"/>
      </w:pPr>
      <w:r>
        <w:rPr>
          <w:rFonts w:ascii="Arial" w:hAnsi="Arial" w:cs="Arial"/>
        </w:rPr>
        <w:t xml:space="preserve"> </w:t>
      </w:r>
      <w:r w:rsidRPr="00EE343C">
        <w:t>Приложение № 3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администрации муниципального образования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Хорлово 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343C" w:rsidRPr="00EE343C" w:rsidRDefault="00EE343C" w:rsidP="00EE3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показатели эффективности работы МБУ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ПМК 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поколение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E343C" w:rsidRDefault="00EE343C" w:rsidP="00EE3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критерии оценки эффективности работы руководителя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E1693D" w:rsidRDefault="00E1693D" w:rsidP="00E1693D">
      <w:pPr>
        <w:pStyle w:val="a5"/>
        <w:jc w:val="center"/>
      </w:pPr>
      <w:r>
        <w:t>Примерный перечень показателей  эффективности деятельности муниципального учреждения по работе с молодёжью, его руководителя и работников</w:t>
      </w:r>
    </w:p>
    <w:p w:rsidR="00E1693D" w:rsidRDefault="00E1693D" w:rsidP="00E1693D">
      <w:pPr>
        <w:pStyle w:val="a5"/>
        <w:jc w:val="center"/>
      </w:pPr>
      <w:r>
        <w:t>по виду учреждения и основным категориям работников</w:t>
      </w:r>
    </w:p>
    <w:p w:rsidR="00E1693D" w:rsidRDefault="00E1693D" w:rsidP="00E1693D">
      <w:pPr>
        <w:pStyle w:val="a5"/>
        <w:jc w:val="center"/>
      </w:pPr>
      <w:r>
        <w:t> </w:t>
      </w:r>
    </w:p>
    <w:p w:rsidR="00E1693D" w:rsidRDefault="00E1693D" w:rsidP="00E1693D">
      <w:pPr>
        <w:pStyle w:val="a5"/>
        <w:jc w:val="center"/>
      </w:pPr>
      <w:r>
        <w:t xml:space="preserve"> </w:t>
      </w:r>
    </w:p>
    <w:p w:rsidR="00E1693D" w:rsidRDefault="00E1693D" w:rsidP="00E1693D">
      <w:pPr>
        <w:pStyle w:val="a5"/>
      </w:pPr>
      <w:r>
        <w:t> </w:t>
      </w:r>
    </w:p>
    <w:p w:rsidR="00E1693D" w:rsidRDefault="00E1693D" w:rsidP="00E1693D">
      <w:pPr>
        <w:pStyle w:val="a5"/>
      </w:pPr>
      <w:r>
        <w:t> </w:t>
      </w:r>
    </w:p>
    <w:p w:rsidR="00E1693D" w:rsidRDefault="00E1693D" w:rsidP="00E1693D">
      <w:pPr>
        <w:pStyle w:val="a5"/>
      </w:pPr>
      <w:r>
        <w:t>1. увеличение численности участников   мероприятий по сравнению с предыдущим годом (процентов);</w:t>
      </w:r>
    </w:p>
    <w:p w:rsidR="00E1693D" w:rsidRDefault="00E1693D" w:rsidP="00E1693D">
      <w:pPr>
        <w:pStyle w:val="a5"/>
      </w:pPr>
      <w:r>
        <w:t>2. темп роста количества участников молодёжных формирований по сравнению с предыдущим периодом (процентов);</w:t>
      </w:r>
    </w:p>
    <w:p w:rsidR="00E1693D" w:rsidRDefault="00E1693D" w:rsidP="00E1693D">
      <w:pPr>
        <w:pStyle w:val="a5"/>
      </w:pPr>
      <w:r>
        <w:t>3. число    мероприятий, проведенных   учреждением (единиц):</w:t>
      </w:r>
    </w:p>
    <w:p w:rsidR="00E1693D" w:rsidRDefault="00E1693D" w:rsidP="00E1693D">
      <w:pPr>
        <w:pStyle w:val="a5"/>
      </w:pPr>
      <w:r>
        <w:t xml:space="preserve">3.1. доля мероприятий, направленных на развитие творческого потенциала детей и молодежи в общем объеме мероприятий учреждения (процентов); гражданско-патриотического характера, вовлечение в волонтёрское движение, мероприятий по пропаганде здорового образа жизни, </w:t>
      </w:r>
      <w:r>
        <w:lastRenderedPageBreak/>
        <w:t>профилактики правонарушений в молодёжной среде, социальной адаптации подростков, оказавшихся в трудной жизненной ситуации, мероприятий посвящённых укреплению института молодой семьи.</w:t>
      </w:r>
    </w:p>
    <w:p w:rsidR="00E1693D" w:rsidRDefault="00E1693D" w:rsidP="00E1693D">
      <w:pPr>
        <w:pStyle w:val="a5"/>
      </w:pPr>
      <w:r>
        <w:t>4. средняя посещаемость   мероприятий (процентов);</w:t>
      </w:r>
    </w:p>
    <w:p w:rsidR="00E1693D" w:rsidRDefault="00E1693D" w:rsidP="00E1693D">
      <w:pPr>
        <w:pStyle w:val="a5"/>
      </w:pPr>
      <w:r>
        <w:t>5. удельный вес населения, участвующего в платных   мероприятиях, проводимых учреждением   (процентов);</w:t>
      </w:r>
    </w:p>
    <w:p w:rsidR="00E1693D" w:rsidRDefault="00E1693D" w:rsidP="00E1693D">
      <w:pPr>
        <w:pStyle w:val="a5"/>
      </w:pPr>
      <w:r>
        <w:t>6. доля подростков и молодёжи</w:t>
      </w:r>
      <w:proofErr w:type="gramStart"/>
      <w:r>
        <w:t xml:space="preserve"> ,</w:t>
      </w:r>
      <w:proofErr w:type="gramEnd"/>
      <w:r>
        <w:t xml:space="preserve"> привлекаемых к участию  в  мероприятиях, от общего числа молодёжи (процентов);</w:t>
      </w:r>
    </w:p>
    <w:p w:rsidR="00E1693D" w:rsidRDefault="00E1693D" w:rsidP="00E1693D">
      <w:pPr>
        <w:pStyle w:val="a5"/>
      </w:pPr>
      <w:r>
        <w:t>7. количество зарегистрированных пользователей (единиц);</w:t>
      </w:r>
    </w:p>
    <w:p w:rsidR="00E1693D" w:rsidRDefault="00E1693D" w:rsidP="00E1693D">
      <w:pPr>
        <w:pStyle w:val="a5"/>
      </w:pPr>
      <w:r>
        <w:t>8. объема  выполненных работ силами молодёжи</w:t>
      </w:r>
      <w:proofErr w:type="gramStart"/>
      <w:r>
        <w:t xml:space="preserve"> ;</w:t>
      </w:r>
      <w:proofErr w:type="gramEnd"/>
    </w:p>
    <w:p w:rsidR="00E1693D" w:rsidRDefault="00E1693D" w:rsidP="00E1693D">
      <w:pPr>
        <w:pStyle w:val="a5"/>
      </w:pPr>
      <w:r>
        <w:t>9. количество обращений   (единиц);</w:t>
      </w:r>
    </w:p>
    <w:p w:rsidR="00E1693D" w:rsidRDefault="00E1693D" w:rsidP="00E1693D">
      <w:pPr>
        <w:pStyle w:val="a5"/>
      </w:pPr>
      <w:r>
        <w:t>10. количество новых  посетителей</w:t>
      </w:r>
      <w:proofErr w:type="gramStart"/>
      <w:r>
        <w:t xml:space="preserve"> ,</w:t>
      </w:r>
      <w:proofErr w:type="gramEnd"/>
      <w:r>
        <w:t xml:space="preserve"> в том числе.</w:t>
      </w:r>
    </w:p>
    <w:p w:rsidR="00E1693D" w:rsidRDefault="00E1693D" w:rsidP="00E1693D">
      <w:pPr>
        <w:pStyle w:val="a5"/>
        <w:jc w:val="center"/>
      </w:pPr>
      <w:r>
        <w:t xml:space="preserve"> Примерные показатели эффективности деятельности,</w:t>
      </w:r>
    </w:p>
    <w:p w:rsidR="00E1693D" w:rsidRDefault="00E1693D" w:rsidP="00E1693D">
      <w:pPr>
        <w:pStyle w:val="a5"/>
        <w:jc w:val="center"/>
      </w:pPr>
      <w:proofErr w:type="gramStart"/>
      <w:r>
        <w:t>применимые к виду муниципального учреждения, его руководителю и</w:t>
      </w:r>
      <w:proofErr w:type="gramEnd"/>
    </w:p>
    <w:p w:rsidR="00E1693D" w:rsidRDefault="00E1693D" w:rsidP="00E1693D">
      <w:pPr>
        <w:pStyle w:val="a5"/>
        <w:jc w:val="center"/>
      </w:pPr>
      <w:r>
        <w:t>основным категориям работников.</w:t>
      </w:r>
    </w:p>
    <w:p w:rsidR="00E1693D" w:rsidRDefault="00E1693D" w:rsidP="00E1693D">
      <w:pPr>
        <w:pStyle w:val="a5"/>
      </w:pPr>
      <w:r>
        <w:t> </w:t>
      </w:r>
    </w:p>
    <w:p w:rsidR="00E1693D" w:rsidRDefault="00E1693D" w:rsidP="00E1693D">
      <w:pPr>
        <w:pStyle w:val="a5"/>
      </w:pPr>
      <w:r>
        <w:t> </w:t>
      </w:r>
    </w:p>
    <w:p w:rsidR="00E1693D" w:rsidRDefault="00E1693D" w:rsidP="00E1693D">
      <w:pPr>
        <w:pStyle w:val="a5"/>
      </w:pPr>
      <w:r>
        <w:t>1. выполнение учреждением муниципального задания на оказание услуг (выполнение работ)  (да/нет);</w:t>
      </w:r>
    </w:p>
    <w:p w:rsidR="00E1693D" w:rsidRDefault="00E1693D" w:rsidP="00E1693D">
      <w:pPr>
        <w:pStyle w:val="a5"/>
      </w:pPr>
      <w:r>
        <w:t>2.выполнение целевых показателей (индикаторов) эффективности работы учреждения (да/нет);</w:t>
      </w:r>
    </w:p>
    <w:p w:rsidR="00E1693D" w:rsidRDefault="00E1693D" w:rsidP="00E1693D">
      <w:pPr>
        <w:pStyle w:val="a5"/>
      </w:pPr>
      <w:r>
        <w:t>3. достижение соотношения средней заработной платы работников учреждения и средней заработной платы в регионе (процентов);</w:t>
      </w:r>
    </w:p>
    <w:p w:rsidR="00E1693D" w:rsidRDefault="00E1693D" w:rsidP="00E1693D">
      <w:pPr>
        <w:pStyle w:val="a5"/>
      </w:pPr>
      <w:r>
        <w:t>4. уровень удовлетворенности граждан качеством предоставления учреждения  муниципальных услуг в сфере молодёжной политики (процентов);</w:t>
      </w:r>
    </w:p>
    <w:p w:rsidR="00E1693D" w:rsidRDefault="00E1693D" w:rsidP="00E1693D">
      <w:pPr>
        <w:pStyle w:val="a5"/>
      </w:pPr>
      <w:proofErr w:type="gramStart"/>
      <w:r>
        <w:t>5. количество   мероприятий (концертов, выставок, конкурсов, соревнований, акций  и др.), проведенных силами учреждения (единиц);</w:t>
      </w:r>
      <w:proofErr w:type="gramEnd"/>
    </w:p>
    <w:p w:rsidR="00E1693D" w:rsidRDefault="00E1693D" w:rsidP="00E1693D">
      <w:pPr>
        <w:pStyle w:val="a5"/>
      </w:pPr>
      <w:r>
        <w:t>6. количество посетителей   мероприятий (единиц);</w:t>
      </w:r>
    </w:p>
    <w:p w:rsidR="00E1693D" w:rsidRDefault="00E1693D" w:rsidP="00E1693D">
      <w:pPr>
        <w:pStyle w:val="a5"/>
      </w:pPr>
      <w:r>
        <w:lastRenderedPageBreak/>
        <w:t>7. количество работников учреждения, прошедших повышение квалификации и (или) профессиональную подготовку (человек);</w:t>
      </w:r>
    </w:p>
    <w:p w:rsidR="00E1693D" w:rsidRDefault="00E1693D" w:rsidP="00E1693D">
      <w:pPr>
        <w:pStyle w:val="a5"/>
      </w:pPr>
      <w:r>
        <w:t>8.  участие учреждения в проектах, конкурсах, реализации федеральных целевых программ (да/нет);</w:t>
      </w:r>
    </w:p>
    <w:p w:rsidR="00E1693D" w:rsidRDefault="00E1693D" w:rsidP="00E1693D">
      <w:pPr>
        <w:pStyle w:val="a5"/>
      </w:pPr>
      <w:r>
        <w:t>9. наличие собственного Интернет-сайта учреждения и обеспечение его поддержки в актуальном состоянии (да/нет);</w:t>
      </w:r>
    </w:p>
    <w:p w:rsidR="00E1693D" w:rsidRDefault="00E1693D" w:rsidP="00E1693D">
      <w:pPr>
        <w:pStyle w:val="a5"/>
      </w:pPr>
      <w:r>
        <w:t>10. освоение и внедрение инновационных методов работы сотрудником (да/нет);</w:t>
      </w:r>
    </w:p>
    <w:p w:rsidR="00E1693D" w:rsidRDefault="00E1693D" w:rsidP="00E1693D">
      <w:pPr>
        <w:pStyle w:val="a5"/>
      </w:pPr>
      <w:r>
        <w:t>11.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E1693D" w:rsidRDefault="00E1693D" w:rsidP="00E1693D">
      <w:pPr>
        <w:pStyle w:val="a5"/>
      </w:pPr>
      <w:r>
        <w:t>12. результативность участия в конкурсах, получение грантов, наград, званий, дипломов  (да/нет);</w:t>
      </w:r>
    </w:p>
    <w:p w:rsidR="00E1693D" w:rsidRDefault="00E1693D" w:rsidP="00E1693D">
      <w:pPr>
        <w:pStyle w:val="a5"/>
      </w:pPr>
      <w:r>
        <w:t xml:space="preserve">13.  участие в организации и проведении информационных, </w:t>
      </w:r>
      <w:proofErr w:type="spellStart"/>
      <w:r>
        <w:t>культурно-досуговых</w:t>
      </w:r>
      <w:proofErr w:type="spellEnd"/>
      <w:r>
        <w:t>, социально-значимых и просветительных мероприятий (концертов, конкурсов, творческих встречах, проектов и др.), в том числе рассчитанных на обслуживание особых категорий пользователей (да/нет);</w:t>
      </w:r>
    </w:p>
    <w:p w:rsidR="00E1693D" w:rsidRDefault="00E1693D" w:rsidP="00E1693D">
      <w:pPr>
        <w:pStyle w:val="a5"/>
      </w:pPr>
      <w:r>
        <w:t>14. ведение сводной статистической отчетности (по вид</w:t>
      </w:r>
      <w:r w:rsidR="003E5CD3">
        <w:t>у</w:t>
      </w:r>
      <w:r>
        <w:t xml:space="preserve"> учреждени</w:t>
      </w:r>
      <w:r w:rsidR="003E5CD3">
        <w:t>я</w:t>
      </w:r>
      <w:r>
        <w:t>), проведение мониторингов по профилю деятельности учреждения по поручению учредителя (да, нет).</w:t>
      </w:r>
    </w:p>
    <w:p w:rsidR="00E1693D" w:rsidRDefault="00E1693D" w:rsidP="00E1693D">
      <w:pPr>
        <w:pStyle w:val="a5"/>
      </w:pPr>
      <w:r>
        <w:t> </w:t>
      </w:r>
    </w:p>
    <w:p w:rsidR="00E1693D" w:rsidRPr="00EE343C" w:rsidRDefault="00E1693D" w:rsidP="00EE34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9"/>
        <w:gridCol w:w="2292"/>
        <w:gridCol w:w="1140"/>
        <w:gridCol w:w="1155"/>
        <w:gridCol w:w="1330"/>
        <w:gridCol w:w="1330"/>
      </w:tblGrid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показателя объема государственной услуги (работы)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169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значение показателя в 201</w:t>
            </w:r>
            <w:r w:rsidR="00E16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(нарастающим итогом)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43C" w:rsidRPr="00EE343C" w:rsidRDefault="00EE343C" w:rsidP="00E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43C" w:rsidRPr="00EE343C" w:rsidRDefault="00EE343C" w:rsidP="00EE3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полугодие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молодёжных объединений и групп по интересам,</w:t>
            </w: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E5CD3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в рамках работы по организации и проведению фестивалей, выставок, конкурсов и иных программных мероприятий силами учреждения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E5CD3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E5CD3" w:rsidP="003E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E5CD3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E5CD3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проведенных мероприятий в рамках методической</w:t>
            </w:r>
            <w:r w:rsidR="000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информационной</w:t>
            </w: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 w:rsidR="0030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консультаций, опросов, тестирований</w:t>
            </w:r>
            <w:r w:rsidR="000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Издание и </w:t>
            </w:r>
            <w:proofErr w:type="spellStart"/>
            <w:r w:rsidR="000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распростронение</w:t>
            </w:r>
            <w:proofErr w:type="spellEnd"/>
            <w:r w:rsidR="000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печатной продукции, включая газету «Наша жизнь», изготовление социальной рекламы, баннеров и </w:t>
            </w:r>
            <w:proofErr w:type="spellStart"/>
            <w:r w:rsidR="000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091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0916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302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0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гражданско-патриотической направленности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302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0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пропаганде здорового образа жизни в молодёжной среде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302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302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разовых посещений   учреждения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02A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 проведённых на уличных площадках, в парках, дворах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70679D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302A3C" w:rsidP="00302A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экологических, волонтёрских  и иных акций с привлечением молодёжи и подростков</w:t>
            </w:r>
            <w:r w:rsidR="0095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турпоходы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качества фактически предоставляемых  муниципальных услуг согласно стандартам качества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соответствует стандартам качества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сайта в сети интернет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B91" w:rsidRDefault="00EE343C" w:rsidP="0095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сети интернет </w:t>
            </w:r>
          </w:p>
          <w:p w:rsidR="00EE343C" w:rsidRPr="00EE343C" w:rsidRDefault="00951B91" w:rsidP="0095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1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http://novoepokolenie-club.ru/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Списочная численность (без внешних совместителей) учреждения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951B91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кадрами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укомплектованности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E343C" w:rsidRPr="00EE343C" w:rsidTr="00EE343C">
        <w:trPr>
          <w:tblCellSpacing w:w="0" w:type="dxa"/>
          <w:jc w:val="center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Удельный вес </w:t>
            </w:r>
            <w:proofErr w:type="spellStart"/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высоквалифицированных</w:t>
            </w:r>
            <w:proofErr w:type="spellEnd"/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в общей численности квалифицированных работников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43C" w:rsidRPr="00EE343C" w:rsidRDefault="00EE343C" w:rsidP="00EE34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343C" w:rsidRPr="00EE343C" w:rsidRDefault="00951B91" w:rsidP="00951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8E34C2" w:rsidRPr="008E34C2" w:rsidRDefault="00EE343C" w:rsidP="008E3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34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E34C2" w:rsidRPr="008E34C2" w:rsidRDefault="008E34C2" w:rsidP="008E34C2">
      <w:pPr>
        <w:pStyle w:val="a3"/>
        <w:rPr>
          <w:sz w:val="24"/>
          <w:szCs w:val="24"/>
        </w:rPr>
      </w:pPr>
    </w:p>
    <w:sectPr w:rsidR="008E34C2" w:rsidRPr="008E34C2" w:rsidSect="008E34C2">
      <w:pgSz w:w="16838" w:h="11906" w:orient="landscape"/>
      <w:pgMar w:top="284" w:right="567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4C2"/>
    <w:rsid w:val="0009169D"/>
    <w:rsid w:val="00302A3C"/>
    <w:rsid w:val="003E5CD3"/>
    <w:rsid w:val="0070679D"/>
    <w:rsid w:val="008E34C2"/>
    <w:rsid w:val="00951B91"/>
    <w:rsid w:val="00E1693D"/>
    <w:rsid w:val="00EE343C"/>
    <w:rsid w:val="00F7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4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E34C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E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4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2014-10-23T16:29:00Z</dcterms:created>
  <dcterms:modified xsi:type="dcterms:W3CDTF">2014-10-23T17:28:00Z</dcterms:modified>
</cp:coreProperties>
</file>